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6946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Додаток 1</w:t>
      </w:r>
    </w:p>
    <w:p>
      <w:pPr>
        <w:spacing w:before="0" w:after="0" w:line="240"/>
        <w:ind w:right="-72" w:left="6946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20" w:leader="none"/>
          <w:tab w:val="left" w:pos="8662" w:leader="none"/>
          <w:tab w:val="left" w:pos="8804" w:leader="none"/>
          <w:tab w:val="left" w:pos="8946" w:leader="none"/>
        </w:tabs>
        <w:spacing w:before="0" w:after="0" w:line="240"/>
        <w:ind w:right="-924" w:left="56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ЗАТВЕРДЖЕНО</w:t>
      </w:r>
    </w:p>
    <w:p>
      <w:pPr>
        <w:tabs>
          <w:tab w:val="left" w:pos="8520" w:leader="none"/>
          <w:tab w:val="left" w:pos="8662" w:leader="none"/>
          <w:tab w:val="left" w:pos="8804" w:leader="none"/>
          <w:tab w:val="left" w:pos="8946" w:leader="none"/>
        </w:tabs>
        <w:spacing w:before="0" w:after="0" w:line="240"/>
        <w:ind w:right="-924" w:left="56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наказом Управління житлово-комунального господарства Подільської районної в місті Києві державної адміністрації</w:t>
      </w:r>
    </w:p>
    <w:p>
      <w:pPr>
        <w:tabs>
          <w:tab w:val="left" w:pos="8520" w:leader="none"/>
          <w:tab w:val="left" w:pos="8662" w:leader="none"/>
          <w:tab w:val="left" w:pos="8804" w:leader="none"/>
          <w:tab w:val="left" w:pos="8946" w:leader="none"/>
        </w:tabs>
        <w:spacing w:before="0" w:after="0" w:line="240"/>
        <w:ind w:right="-924" w:left="568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від 23.02.2022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</w:p>
    <w:p>
      <w:pPr>
        <w:spacing w:before="0" w:after="0" w:line="240"/>
        <w:ind w:right="450" w:left="45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FFFFFF" w:val="clear"/>
        </w:rPr>
      </w:pPr>
    </w:p>
    <w:p>
      <w:pPr>
        <w:spacing w:before="0" w:after="0" w:line="240"/>
        <w:ind w:right="450" w:left="45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УМОВИ</w:t>
      </w:r>
    </w:p>
    <w:p>
      <w:pPr>
        <w:spacing w:before="0" w:after="0" w:line="240"/>
        <w:ind w:right="450" w:left="45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FFFFF" w:val="clear"/>
        </w:rPr>
        <w:t xml:space="preserve">проведення конкурсу на зайняття посади державної служби                     категорії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FFFFF" w:val="clear"/>
        </w:rPr>
        <w:t xml:space="preserve">головного спеціаліста відділу  контролю за благоустроєм управління житлово-комунального господарства Подільської районної в місті Києві державної адміністрації</w:t>
      </w:r>
    </w:p>
    <w:p>
      <w:pPr>
        <w:spacing w:before="0" w:after="0" w:line="240"/>
        <w:ind w:right="45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"/>
          <w:shd w:fill="FFFFFF" w:val="clear"/>
        </w:rPr>
      </w:pPr>
    </w:p>
    <w:tbl>
      <w:tblPr/>
      <w:tblGrid>
        <w:gridCol w:w="396"/>
        <w:gridCol w:w="2834"/>
        <w:gridCol w:w="6928"/>
        <w:gridCol w:w="2543"/>
      </w:tblGrid>
      <w:tr>
        <w:trPr>
          <w:trHeight w:val="306" w:hRule="auto"/>
          <w:jc w:val="left"/>
        </w:trPr>
        <w:tc>
          <w:tcPr>
            <w:tcW w:w="1270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Загальні умови</w:t>
            </w:r>
          </w:p>
        </w:tc>
      </w:tr>
      <w:tr>
        <w:trPr>
          <w:trHeight w:val="551" w:hRule="auto"/>
          <w:jc w:val="left"/>
        </w:trPr>
        <w:tc>
          <w:tcPr>
            <w:tcW w:w="32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Посадові обов’язки</w:t>
            </w:r>
          </w:p>
        </w:tc>
        <w:tc>
          <w:tcPr>
            <w:tcW w:w="6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Приймання особистої участі у вирішені питань благоустрою та дизайну контрольованих ним територій та закріплених, згідно з розподілом обов’язків по відділу, здійснення систематичного обстеження закріпленої території з метою перевірки стану утримання об’єктів благоустрою, санітарно-технічного стану територій, розміщення малих архітектурних форм та об’єктів зовнішньої реклами та недопущення порушень благоустрою, запрошення до заступника начальника управління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начальника відділу посадових та фізичних осіб для з’ясування питань, пов’язаних з порушенням правил благоустрою утримання об’єктів району.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Складання протоколів при виявленні порушень правил благоустрою про адміністративні правопорушення на посадових і фізичних осіб та надання приписів, доручень або надсилання факсограми за підписом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заступника начальника управління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начальника відділу про усунення порушень благоустрою.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Організація та забезпечення контролю, аналіз та оцінка стану справ на відповідному напрямі діяльності. Приймання відвідувачів, надання їм необхідної консультації з порядку оформлення документів.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Розробка пропозицій, комплексів заходів, які стосуються належного утримання закріпленої території, контроль організації їх виконання.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Організація та проведення нарад, семінарів, конференцій з відповідних питань.</w:t>
            </w:r>
          </w:p>
          <w:p>
            <w:pPr>
              <w:spacing w:before="15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6.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Розгляд листів та заяв підприємств, установ, організацій, юридичних і фізичних осіб, виконавчих комітетів та звернення громадян з питань благоустрою, що належать до посадових функцій.</w:t>
            </w:r>
          </w:p>
        </w:tc>
      </w:tr>
      <w:tr>
        <w:trPr>
          <w:trHeight w:val="70" w:hRule="auto"/>
          <w:jc w:val="left"/>
        </w:trPr>
        <w:tc>
          <w:tcPr>
            <w:tcW w:w="32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Умови оплати праці</w:t>
            </w:r>
          </w:p>
        </w:tc>
        <w:tc>
          <w:tcPr>
            <w:tcW w:w="6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7" w:left="5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1)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посадовий оклад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грн.;</w:t>
            </w:r>
          </w:p>
          <w:p>
            <w:pPr>
              <w:spacing w:before="0" w:after="0" w:line="240"/>
              <w:ind w:right="127" w:left="5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2)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надбавка за ранг державного службовця</w:t>
              <w:br/>
              <w:t xml:space="preserve">відповідно до постанови Кабінету Міністрів України від 18 січня 2017 року           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Питання оплати праці працівників державних органів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3)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надбавки, доплати та премії відповідно до статті 52 Закону України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 державну службу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</w:tr>
      <w:tr>
        <w:trPr>
          <w:trHeight w:val="842" w:hRule="auto"/>
          <w:jc w:val="left"/>
        </w:trPr>
        <w:tc>
          <w:tcPr>
            <w:tcW w:w="32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Інформація про строковість чи безстроковість призначення на посаду</w:t>
            </w:r>
          </w:p>
        </w:tc>
        <w:tc>
          <w:tcPr>
            <w:tcW w:w="6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5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Безстроково, строк призначення особи, яка 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>
        <w:trPr>
          <w:trHeight w:val="1" w:hRule="atLeast"/>
          <w:jc w:val="left"/>
        </w:trPr>
        <w:tc>
          <w:tcPr>
            <w:tcW w:w="32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Перелік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інформації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, необхідних для участі в конкурсі, та строк їх подання</w:t>
            </w:r>
          </w:p>
        </w:tc>
        <w:tc>
          <w:tcPr>
            <w:tcW w:w="6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7" w:left="5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Особа, яка бажає взяти участь у конкурсі, подає через Єдиний портал вакансій державної служби таку інформацію:</w:t>
            </w:r>
          </w:p>
          <w:p>
            <w:pPr>
              <w:spacing w:before="0" w:after="0" w:line="240"/>
              <w:ind w:right="124" w:left="5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заява про участь у конкурсі із зазначенням основних мотивів щодо зайняття посади державної служби за формою згідно з </w:t>
            </w: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додатком 2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Порядку проведення конкурсу на зайняття посад державної служби, затвердженого постановою Кабінету Міністрів України від 25 березня 2016 р.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246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із змінами);</w:t>
            </w:r>
          </w:p>
          <w:p>
            <w:pPr>
              <w:spacing w:before="0" w:after="0" w:line="240"/>
              <w:ind w:right="124" w:left="5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резюме за формою згідно з </w:t>
            </w: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додатком 2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Порядку проведення конкурсу на зайняття посад державної служби, затвердженого постановою Кабінету Міністрів України від 25 березня 2016 р.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246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із змінами), в якому обов’язково зазначається така інформація:</w:t>
            </w:r>
          </w:p>
          <w:p>
            <w:pPr>
              <w:spacing w:before="0" w:after="0" w:line="240"/>
              <w:ind w:right="124" w:left="5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прізвище, ім’я, по батькові кандидата;</w:t>
            </w:r>
          </w:p>
          <w:p>
            <w:pPr>
              <w:spacing w:before="0" w:after="0" w:line="240"/>
              <w:ind w:right="124" w:left="5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реквізити документа, що посвідчує особу та підтверджує громадянство України;</w:t>
            </w:r>
          </w:p>
          <w:p>
            <w:pPr>
              <w:spacing w:before="0" w:after="0" w:line="240"/>
              <w:ind w:right="124" w:left="5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підтвердження наявності відповідного ступеня вищої освіти;</w:t>
            </w:r>
          </w:p>
          <w:p>
            <w:pPr>
              <w:spacing w:before="0" w:after="0" w:line="240"/>
              <w:ind w:right="124" w:left="5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відомості про стаж роботи, стаж державної служби (за наявності), досвід роботи на відповідних посадах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 на керівних посадах (за наявності відповідних вимог);</w:t>
            </w:r>
          </w:p>
          <w:p>
            <w:pPr>
              <w:spacing w:before="0" w:after="0" w:line="240"/>
              <w:ind w:right="124" w:left="5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заява, в якій особа повідомляє, що до неї не застосовуються заборони, визначені частиною </w:t>
            </w: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третьою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 </w:t>
            </w: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четвертою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124" w:left="5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  <w:vertAlign w:val="superscript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)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  <w:p>
            <w:pPr>
              <w:tabs>
                <w:tab w:val="left" w:pos="612" w:leader="none"/>
              </w:tabs>
              <w:spacing w:before="0" w:after="0" w:line="240"/>
              <w:ind w:right="127" w:left="5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Подача додатків до заяви не є обов’язковою.</w:t>
            </w:r>
          </w:p>
          <w:p>
            <w:pPr>
              <w:spacing w:before="150" w:after="150" w:line="240"/>
              <w:ind w:right="135" w:left="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Інформація приймаються до 17 год. 00 хв. 02 березня  2022 року</w:t>
            </w:r>
          </w:p>
        </w:tc>
      </w:tr>
      <w:tr>
        <w:trPr>
          <w:trHeight w:val="984" w:hRule="auto"/>
          <w:jc w:val="left"/>
        </w:trPr>
        <w:tc>
          <w:tcPr>
            <w:tcW w:w="32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Додаткові (необов’язкові) документи</w:t>
            </w:r>
          </w:p>
        </w:tc>
        <w:tc>
          <w:tcPr>
            <w:tcW w:w="6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>
        <w:trPr>
          <w:trHeight w:val="4710" w:hRule="auto"/>
          <w:jc w:val="left"/>
        </w:trPr>
        <w:tc>
          <w:tcPr>
            <w:tcW w:w="32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Дата і час початку проведення тестування кандидатів.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Місце або спосіб проведення тестування.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Місце або спосіб проведення співбесіди (із зазначенням електронної платформи для комунікації дистанційно).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6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березня  2022 року об 11 год. 00 хв.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Управління житлово-комунального господарства Подільської районної в місті Києві державної адміністрації.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 Київ, вул. Костянтинівська, 22/17, 3-й поверх (проведення тестування за фізичної присутності кандидатів).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Управління житлово-комунального господарства Подільської районної в місті Києві державної адміністрації.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 Київ, вул. Костянтинівська, 22/17, 3-й поверх (проведення співбесіди за фізичної присутності кандидатів).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>
        <w:trPr>
          <w:trHeight w:val="2790" w:hRule="auto"/>
          <w:jc w:val="left"/>
        </w:trPr>
        <w:tc>
          <w:tcPr>
            <w:tcW w:w="32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дистанційно).</w:t>
            </w:r>
          </w:p>
        </w:tc>
        <w:tc>
          <w:tcPr>
            <w:tcW w:w="6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Управління житлово-комунального господарства Подільської районної в місті Києві державної адміністрації.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 Київ, вул. Костянтинівська, 22/17, 3-й поверх (проведення співбесіди за фізичної присутності кандидатів).</w:t>
            </w:r>
          </w:p>
        </w:tc>
      </w:tr>
      <w:tr>
        <w:trPr>
          <w:trHeight w:val="1756" w:hRule="auto"/>
          <w:jc w:val="left"/>
        </w:trPr>
        <w:tc>
          <w:tcPr>
            <w:tcW w:w="32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Прізвище, ім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’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</w:tabs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Дяченко Валентина Петрівна  т.425-11-40, </w:t>
            </w:r>
            <w:r>
              <w:rPr>
                <w:rFonts w:ascii="Times New Roman" w:hAnsi="Times New Roman" w:cs="Times New Roman" w:eastAsia="Times New Roman"/>
                <w:color w:val="303030"/>
                <w:spacing w:val="0"/>
                <w:position w:val="0"/>
                <w:sz w:val="24"/>
                <w:shd w:fill="FFFFFF" w:val="clear"/>
              </w:rPr>
              <w:t xml:space="preserve">ujkg_podilrda@kmda.gov.ua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FFFFFF" w:val="clear"/>
              </w:rPr>
              <w:t xml:space="preserve"> </w:t>
            </w:r>
          </w:p>
          <w:p>
            <w:pPr>
              <w:tabs>
                <w:tab w:val="left" w:pos="720" w:leader="none"/>
              </w:tabs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 дату і час проведення кожного етапу конкурсу учасники конкурсу будуть повідомлені додатково.</w:t>
            </w:r>
          </w:p>
          <w:p>
            <w:pPr>
              <w:tabs>
                <w:tab w:val="left" w:pos="720" w:leader="none"/>
              </w:tabs>
              <w:spacing w:before="100" w:after="10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70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Кваліфікаційні вимоги</w:t>
            </w:r>
          </w:p>
        </w:tc>
      </w:tr>
      <w:tr>
        <w:trPr>
          <w:trHeight w:val="1" w:hRule="atLeast"/>
          <w:jc w:val="left"/>
        </w:trPr>
        <w:tc>
          <w:tcPr>
            <w:tcW w:w="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Освіта</w:t>
            </w:r>
          </w:p>
        </w:tc>
        <w:tc>
          <w:tcPr>
            <w:tcW w:w="94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Вища за освітнім ступенем не нижче молодшого бакалавра або бакалавра.</w:t>
            </w:r>
          </w:p>
        </w:tc>
      </w:tr>
      <w:tr>
        <w:trPr>
          <w:trHeight w:val="1" w:hRule="atLeast"/>
          <w:jc w:val="left"/>
        </w:trPr>
        <w:tc>
          <w:tcPr>
            <w:tcW w:w="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Досвід роботи</w:t>
            </w:r>
          </w:p>
        </w:tc>
        <w:tc>
          <w:tcPr>
            <w:tcW w:w="94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 потребує</w:t>
            </w:r>
          </w:p>
        </w:tc>
      </w:tr>
      <w:tr>
        <w:trPr>
          <w:trHeight w:val="1" w:hRule="atLeast"/>
          <w:jc w:val="left"/>
        </w:trPr>
        <w:tc>
          <w:tcPr>
            <w:tcW w:w="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Володіння державною мовою</w:t>
            </w:r>
          </w:p>
        </w:tc>
        <w:tc>
          <w:tcPr>
            <w:tcW w:w="94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Вільне володіння державною мовою.</w:t>
            </w:r>
          </w:p>
        </w:tc>
      </w:tr>
      <w:tr>
        <w:trPr>
          <w:trHeight w:val="1" w:hRule="atLeast"/>
          <w:jc w:val="left"/>
        </w:trPr>
        <w:tc>
          <w:tcPr>
            <w:tcW w:w="1270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Вимоги до компетентності</w:t>
            </w:r>
          </w:p>
        </w:tc>
      </w:tr>
      <w:tr>
        <w:trPr>
          <w:trHeight w:val="1" w:hRule="atLeast"/>
          <w:jc w:val="left"/>
        </w:trPr>
        <w:tc>
          <w:tcPr>
            <w:tcW w:w="32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Вимога</w:t>
            </w:r>
          </w:p>
        </w:tc>
        <w:tc>
          <w:tcPr>
            <w:tcW w:w="94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Компоненти вимоги</w:t>
            </w:r>
          </w:p>
        </w:tc>
      </w:tr>
      <w:tr>
        <w:trPr>
          <w:trHeight w:val="1" w:hRule="atLeast"/>
          <w:jc w:val="left"/>
        </w:trPr>
        <w:tc>
          <w:tcPr>
            <w:tcW w:w="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Цифрова грамотність</w:t>
            </w:r>
          </w:p>
        </w:tc>
        <w:tc>
          <w:tcPr>
            <w:tcW w:w="94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6"/>
              </w:numPr>
              <w:spacing w:before="0" w:after="0" w:line="240"/>
              <w:ind w:right="0" w:left="420" w:hanging="360"/>
              <w:jc w:val="both"/>
              <w:rPr>
                <w:rFonts w:ascii="Times New Roman" w:hAnsi="Times New Roman" w:cs="Times New Roman" w:eastAsia="Times New Roman"/>
                <w:color w:val="C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вміння використовувати 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>
            <w:pPr>
              <w:numPr>
                <w:ilvl w:val="0"/>
                <w:numId w:val="66"/>
              </w:numPr>
              <w:spacing w:before="0" w:after="0" w:line="240"/>
              <w:ind w:right="0" w:left="420" w:hanging="360"/>
              <w:jc w:val="both"/>
              <w:rPr>
                <w:rFonts w:ascii="Times New Roman" w:hAnsi="Times New Roman" w:cs="Times New Roman" w:eastAsia="Times New Roman"/>
                <w:color w:val="C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</w:t>
            </w:r>
          </w:p>
          <w:p>
            <w:pPr>
              <w:numPr>
                <w:ilvl w:val="0"/>
                <w:numId w:val="66"/>
              </w:numPr>
              <w:spacing w:before="0" w:after="0" w:line="240"/>
              <w:ind w:right="0" w:left="4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>
            <w:pPr>
              <w:numPr>
                <w:ilvl w:val="0"/>
                <w:numId w:val="66"/>
              </w:numPr>
              <w:spacing w:before="0" w:after="0" w:line="240"/>
              <w:ind w:right="0" w:left="4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користуватися кваліфікованим електронним підписом (КЕП);</w:t>
            </w:r>
          </w:p>
          <w:p>
            <w:pPr>
              <w:numPr>
                <w:ilvl w:val="0"/>
                <w:numId w:val="66"/>
              </w:numPr>
              <w:spacing w:before="0" w:after="0" w:line="240"/>
              <w:ind w:right="0" w:left="4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здатність використовувати відкриті цифрові ресурси для власного професійного розвитку.</w:t>
            </w:r>
          </w:p>
          <w:p>
            <w:pPr>
              <w:spacing w:before="0" w:after="0" w:line="240"/>
              <w:ind w:right="0" w:left="6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Необхідні ділові якості</w:t>
            </w:r>
          </w:p>
        </w:tc>
        <w:tc>
          <w:tcPr>
            <w:tcW w:w="94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вміння працювати в команді;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вміння працювати з великими масивами інформації;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орієнтація на досягнення кінцевих результатів;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вміння надавати та аргументувати пропозиції;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вміння вирішувати комплексні завдання;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оперативність;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здатність приймати зміни та змінюватись.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Необхідні особисті компетенції</w:t>
            </w:r>
          </w:p>
        </w:tc>
        <w:tc>
          <w:tcPr>
            <w:tcW w:w="94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відповідальність;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дисциплінованість;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пунктуальність;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уважність до деталей;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порядність;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незалежність та ініціативність;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вміння працювати в стресових ситуаціях.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70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Професійні знання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Вимога</w:t>
            </w:r>
          </w:p>
        </w:tc>
        <w:tc>
          <w:tcPr>
            <w:tcW w:w="94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Компоненти вимоги</w:t>
            </w:r>
          </w:p>
        </w:tc>
      </w:tr>
      <w:tr>
        <w:trPr>
          <w:trHeight w:val="1" w:hRule="atLeast"/>
          <w:jc w:val="left"/>
        </w:trPr>
        <w:tc>
          <w:tcPr>
            <w:tcW w:w="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2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Знання законодавства</w:t>
            </w:r>
          </w:p>
        </w:tc>
        <w:tc>
          <w:tcPr>
            <w:tcW w:w="94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Конституція України;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Закон України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 державну службу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Закон України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 запобігання корупції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</w:tr>
      <w:tr>
        <w:trPr>
          <w:trHeight w:val="1" w:hRule="atLeast"/>
          <w:jc w:val="left"/>
        </w:trPr>
        <w:tc>
          <w:tcPr>
            <w:tcW w:w="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</w:p>
        </w:tc>
        <w:tc>
          <w:tcPr>
            <w:tcW w:w="2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Знання законодавства у сфері</w:t>
            </w:r>
          </w:p>
        </w:tc>
        <w:tc>
          <w:tcPr>
            <w:tcW w:w="94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Закон України "Про столицю України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місто-герой Київ", "Про місцеве самоврядування в Україні", "Про місцеві державні адміністрації", "Про благоустрій населених пунктів" та "Правилами благоустрою міста Києва", Закон України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 звернення громадян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Закон України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 доступ до публічної інформації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</w:tr>
    </w:tbl>
    <w:p>
      <w:pPr>
        <w:spacing w:before="0" w:after="0" w:line="240"/>
        <w:ind w:right="45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-14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-14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Начальник управління </w:t>
        <w:tab/>
        <w:t xml:space="preserve">                     </w:t>
        <w:tab/>
        <w:tab/>
        <w:tab/>
        <w:t xml:space="preserve">                </w:t>
        <w:tab/>
        <w:t xml:space="preserve">           Ігор СМАРОВОЗ</w:t>
      </w:r>
    </w:p>
    <w:p>
      <w:pPr>
        <w:spacing w:before="0" w:after="0" w:line="240"/>
        <w:ind w:right="0" w:left="-14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zakon.rada.gov.ua/laws/show/246-2016-%D0%BF" Id="docRId1" Type="http://schemas.openxmlformats.org/officeDocument/2006/relationships/hyperlink" /><Relationship TargetMode="External" Target="https://zakon.rada.gov.ua/laws/show/1682-18" Id="docRId3" Type="http://schemas.openxmlformats.org/officeDocument/2006/relationships/hyperlink" /><Relationship Target="styles.xml" Id="docRId5" Type="http://schemas.openxmlformats.org/officeDocument/2006/relationships/styles" /><Relationship TargetMode="External" Target="https://zakon.rada.gov.ua/laws/show/246-2016-%D0%BF" Id="docRId0" Type="http://schemas.openxmlformats.org/officeDocument/2006/relationships/hyperlink" /><Relationship TargetMode="External" Target="https://zakon.rada.gov.ua/laws/show/1682-18" Id="docRId2" Type="http://schemas.openxmlformats.org/officeDocument/2006/relationships/hyperlink" /><Relationship Target="numbering.xml" Id="docRId4" Type="http://schemas.openxmlformats.org/officeDocument/2006/relationships/numbering" /></Relationships>
</file>